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ayout w:type="fixed"/>
        <w:tblLook w:val="04A0"/>
      </w:tblPr>
      <w:tblGrid>
        <w:gridCol w:w="729"/>
        <w:gridCol w:w="1339"/>
        <w:gridCol w:w="1791"/>
        <w:gridCol w:w="1176"/>
        <w:gridCol w:w="1649"/>
        <w:gridCol w:w="1275"/>
        <w:gridCol w:w="1560"/>
        <w:gridCol w:w="1381"/>
      </w:tblGrid>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Level</w:t>
            </w: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2825"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Kabupaten Aceh Barat </w:t>
            </w: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Komponen</w:t>
            </w: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2825"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Implementasi Kinerja</w:t>
            </w: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3859" w:type="dxa"/>
            <w:gridSpan w:val="3"/>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5660" w:type="dxa"/>
            <w:gridSpan w:val="4"/>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I. Perencanaan Kehutanan dan Tata Ruang </w:t>
            </w: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a. Tingkat penerimaan (legitimasi) atas dokumen RTRWP/RTRWK/Kehutanan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Menhut/bappenas) Kepala SKPD, dan Kepala Bagian Perencanaan (Biro kepegawaian dinas)</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223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FIa1</w:t>
            </w:r>
          </w:p>
        </w:tc>
        <w:tc>
          <w:tcPr>
            <w:tcW w:w="133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Bagaimana (tingkat) penerimaan (legitimasi) </w:t>
            </w:r>
            <w:r w:rsidRPr="00C622FE">
              <w:rPr>
                <w:rFonts w:ascii="Times New Roman" w:eastAsia="Times New Roman" w:hAnsi="Times New Roman" w:cs="Times New Roman"/>
                <w:i/>
                <w:iCs/>
                <w:color w:val="000000"/>
                <w:sz w:val="20"/>
                <w:szCs w:val="20"/>
                <w:lang w:eastAsia="id-ID"/>
              </w:rPr>
              <w:t xml:space="preserve">stakeholder </w:t>
            </w:r>
            <w:r w:rsidRPr="00C622FE">
              <w:rPr>
                <w:rFonts w:ascii="Times New Roman" w:eastAsia="Times New Roman" w:hAnsi="Times New Roman" w:cs="Times New Roman"/>
                <w:color w:val="000000"/>
                <w:sz w:val="20"/>
                <w:szCs w:val="20"/>
                <w:lang w:eastAsia="id-ID"/>
              </w:rPr>
              <w:t>atas dokumen RTRWP/RTRWK/Kehutanan?</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Sangat Baik, seluruh stakehol-der menerima dokumen. Masih Dalam Bentuk DRAFT RTRW Aceh Barat. Belum menjadi aturan (perda) yang sah karena belum disahkan di legislatif. Masih dalam tahap koordinasi dengan provinsi dan pusat</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5</w:t>
            </w:r>
          </w:p>
        </w:tc>
      </w:tr>
      <w:tr w:rsidR="00C622FE" w:rsidRPr="00C622FE" w:rsidTr="00C622FE">
        <w:trPr>
          <w:trHeight w:val="127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PU</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Draft RT RW yang sekarang itu dusah dikomunikasi dengan semua pihgak di level aceh barat. Sekarang tinggal menunggu pengesahan dari pusat dan psovinsi</w:t>
            </w:r>
          </w:p>
        </w:tc>
        <w:tc>
          <w:tcPr>
            <w:tcW w:w="1381"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4</w:t>
            </w:r>
          </w:p>
        </w:tc>
      </w:tr>
      <w:tr w:rsidR="00C622FE" w:rsidRPr="00C622FE" w:rsidTr="00C622FE">
        <w:trPr>
          <w:trHeight w:val="223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Draft RTRW (rencana tata ruang wilayah) Aceh Barat masih dalam penyusunan. Belum pada posisi menerima atau menolak. Sekarang mungkin sudah siap tapi belum diajak kami untuk melihat itu. Jadi kami tidak tahu tingkat penerimaannya</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14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relevan ditanyakan. Karena Draft RTRW kabupaten dan RTRW provinsi masih dalam bentuk draft. Karena alasan tertentu draft itu belum bisa kami  akses dan juga oleh masyarakat</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Asosiasi Pengusaha</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2DDDC"/>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Asosiasi Pengusaha</w:t>
            </w:r>
          </w:p>
        </w:tc>
        <w:tc>
          <w:tcPr>
            <w:tcW w:w="1381" w:type="dxa"/>
            <w:tcBorders>
              <w:top w:val="nil"/>
              <w:left w:val="nil"/>
              <w:bottom w:val="single" w:sz="4" w:space="0" w:color="auto"/>
              <w:right w:val="single" w:sz="4" w:space="0" w:color="auto"/>
            </w:tcBorders>
            <w:shd w:val="clear" w:color="000000" w:fill="F2DDDC"/>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383"/>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Akademisi</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informan tidak tahu soal itu</w:t>
            </w:r>
          </w:p>
        </w:tc>
        <w:tc>
          <w:tcPr>
            <w:tcW w:w="1381" w:type="dxa"/>
            <w:tcBorders>
              <w:top w:val="nil"/>
              <w:left w:val="nil"/>
              <w:bottom w:val="single" w:sz="4" w:space="0" w:color="auto"/>
              <w:right w:val="single" w:sz="4" w:space="0" w:color="auto"/>
            </w:tcBorders>
            <w:shd w:val="clear" w:color="000000" w:fill="FFFF00"/>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53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FIb1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luas kawasan hutan yang dikukuhkan dan dite-rima oleh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ada kawasan hutan yang telah dikukuhkan. Itu sudah menjadi persoalan rumit sekarang. Kampung (desa) kita ini adalah desa berhutan.  Banyak kampung yang masuk ke peta hutan</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pilihan jawaban</w:t>
            </w:r>
          </w:p>
        </w:tc>
      </w:tr>
      <w:tr w:rsidR="00C622FE" w:rsidRPr="00C622FE" w:rsidTr="00C622FE">
        <w:trPr>
          <w:trHeight w:val="102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pernah dikukuhkan itu kawasan dan masih terjadi perselisihan tapal batas antar kabupaten</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pilihan jawaban</w:t>
            </w:r>
          </w:p>
        </w:tc>
      </w:tr>
      <w:tr w:rsidR="00C622FE" w:rsidRPr="00C622FE" w:rsidTr="00C622FE">
        <w:trPr>
          <w:trHeight w:val="127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luas hutan lingdung yang ada sekarang ini masih belum berpihak ke masyarakat. Karena banyak kebun masyarakat yang terkena hutan lindung</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Akademisi</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ada pengukuhan luas lahan. Tidak tahu saya.  memang ada?</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4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78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FIc1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ada tata ruang masyarakat yang terakomodir. RTRW Aceh juga masih dalam bentuk Draft (provinsi), masih dirahasiakan drfatnya. Karena draft sekarang berbeda 75% dari draft produk tahun 2010 kemarin. Belum bisa di akses</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dasar mau jawab apa, krn tidak ada RTRW</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96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kami tidak tahu peta tata ruang provinsi dan juga tata ruang kabupaten yang pasti.</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102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Akademisi</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Keliahtannya tidak pernah ada komplin dari pihak masyarakat. Ini artinya kepetingan masyarakat belum terganggu</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w:t>
            </w:r>
            <w:r w:rsidRPr="00C622FE">
              <w:rPr>
                <w:rFonts w:ascii="Times New Roman" w:eastAsia="Times New Roman" w:hAnsi="Times New Roman" w:cs="Times New Roman"/>
                <w:b/>
                <w:bCs/>
                <w:color w:val="000000"/>
                <w:sz w:val="20"/>
                <w:szCs w:val="20"/>
                <w:lang w:eastAsia="id-ID"/>
              </w:rPr>
              <w:lastRenderedPageBreak/>
              <w:t xml:space="preserve">terkait, Akademisi), Kabupaten: (Kepala Dinas Kehutanan, Organisasi Masyarakat Adat/Lokal, LSM terkait, Akademisi)  </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48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FFFF00"/>
                <w:sz w:val="20"/>
                <w:szCs w:val="20"/>
                <w:lang w:eastAsia="id-ID"/>
              </w:rPr>
            </w:pPr>
            <w:r w:rsidRPr="00C622FE">
              <w:rPr>
                <w:rFonts w:ascii="Times New Roman" w:eastAsia="Times New Roman" w:hAnsi="Times New Roman" w:cs="Times New Roman"/>
                <w:color w:val="FFFF00"/>
                <w:sz w:val="20"/>
                <w:szCs w:val="20"/>
                <w:lang w:eastAsia="id-ID"/>
              </w:rPr>
              <w:t> </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Ada beberapa konflik yang terjadi di aceh barat. Ada sekitar 1 sd 3 kasus pertahun. Semua bisa diselesaikan</w:t>
            </w:r>
          </w:p>
        </w:tc>
        <w:tc>
          <w:tcPr>
            <w:tcW w:w="1381"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4</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FFFF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konflik biasa dan ringan. Tidak ada yang serius.</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127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FFFF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Konflik antar sesama masyarakat yang sering. Dengan pemerintah jarang. Dengan perusahaan ada juga beberapa kali. Dan semua dapat diselesaikan</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153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FFFF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Akademisi</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Daerah2 kurang terjadi konflik masyarakat dengan pihak2 terkait atau pemerintah terkait hal tersebut, ada ketakutan masyarakat  terhadap penguasa,  seperti masih dalam konflik (masyarakat  tertekan)</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4</w:t>
            </w:r>
          </w:p>
        </w:tc>
      </w:tr>
      <w:tr w:rsidR="00C622FE" w:rsidRPr="00C622FE" w:rsidTr="00C622FE">
        <w:trPr>
          <w:trHeight w:val="127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FId1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Biasanya kesepakatan itu sering berubah pada internal masyarakat. Bisa disebabkan hadir pihak ketiga yang memprovokasi agar melanggar point kesepakatan yang bertikai.</w:t>
            </w:r>
          </w:p>
        </w:tc>
        <w:tc>
          <w:tcPr>
            <w:tcW w:w="1381"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umumnya bisa dimediasi, karena pak bupati sering terjun langsung </w:t>
            </w:r>
            <w:r w:rsidRPr="00C622FE">
              <w:rPr>
                <w:rFonts w:ascii="Times New Roman" w:eastAsia="Times New Roman" w:hAnsi="Times New Roman" w:cs="Times New Roman"/>
                <w:color w:val="000000"/>
                <w:sz w:val="20"/>
                <w:szCs w:val="20"/>
                <w:lang w:eastAsia="id-ID"/>
              </w:rPr>
              <w:lastRenderedPageBreak/>
              <w:t>mendamaikan dan mencari solusi</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3</w:t>
            </w:r>
          </w:p>
        </w:tc>
      </w:tr>
      <w:tr w:rsidR="00C622FE" w:rsidRPr="00C622FE" w:rsidTr="00C622FE">
        <w:trPr>
          <w:trHeight w:val="153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Sulit memenuhi kepentingan kedua belah pihak. Dalam setiap negosiasi pasti ada salah satu pihak yang harus mengalah. Jika sewaktu-waktu ada momentum maka persoalan akan terjadi lagi</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Akademisi</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Tapi dalam skala kecil</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2825"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II. Pengaturan Hak  </w:t>
            </w: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p>
        </w:tc>
      </w:tr>
      <w:tr w:rsidR="00C622FE" w:rsidRPr="00C622FE" w:rsidTr="00C622FE">
        <w:trPr>
          <w:trHeight w:val="6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C622FE">
              <w:rPr>
                <w:rFonts w:ascii="Times New Roman" w:eastAsia="Times New Roman" w:hAnsi="Times New Roman" w:cs="Times New Roman"/>
                <w:b/>
                <w:bCs/>
                <w:color w:val="000000"/>
                <w:sz w:val="20"/>
                <w:szCs w:val="20"/>
                <w:lang w:eastAsia="id-ID"/>
              </w:rPr>
              <w:br/>
              <w:t xml:space="preserve">   masyarakat dan bisnis di Kementerian/SKPD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 Kementerian/Dinas Kehutanan (Unit Pemberi Izin)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53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FIIa1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diperoleh Dokumen</w:t>
            </w:r>
          </w:p>
        </w:tc>
        <w:tc>
          <w:tcPr>
            <w:tcW w:w="1275"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C622FE">
              <w:rPr>
                <w:rFonts w:ascii="Times New Roman" w:eastAsia="Times New Roman" w:hAnsi="Times New Roman" w:cs="Times New Roman"/>
                <w:b/>
                <w:bCs/>
                <w:color w:val="000000"/>
                <w:sz w:val="20"/>
                <w:szCs w:val="20"/>
                <w:lang w:eastAsia="id-ID"/>
              </w:rPr>
              <w:br/>
              <w:t xml:space="preserve">   masyarakat dan bisnis di Kementerian/SKPD </w:t>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6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C622FE">
              <w:rPr>
                <w:rFonts w:ascii="Times New Roman" w:eastAsia="Times New Roman" w:hAnsi="Times New Roman" w:cs="Times New Roman"/>
                <w:b/>
                <w:bCs/>
                <w:color w:val="000000"/>
                <w:sz w:val="20"/>
                <w:szCs w:val="20"/>
                <w:lang w:eastAsia="id-ID"/>
              </w:rPr>
              <w:br/>
              <w:t xml:space="preserve">  Kementerian/Dinas Kehutanan (Unit Pemberi Izin)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FIIb1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Kasie rehabilitasi lahan dinas kehutanan Aceh barat</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4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c. Jumlah konflik antar sesama penggunaan kawasan hutan </w:t>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FIIc1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Jumlah konflik antar sesama penggunaan kawasan hutan </w:t>
            </w:r>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Dokumen Tidak diperoleh</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 Pemerintah (Pusat &amp; Daerah), LSM, AMAN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praktik terbaik (</w:t>
            </w:r>
            <w:r w:rsidRPr="00C622FE">
              <w:rPr>
                <w:rFonts w:ascii="Times New Roman" w:eastAsia="Times New Roman" w:hAnsi="Times New Roman" w:cs="Times New Roman"/>
                <w:i/>
                <w:iCs/>
                <w:color w:val="000000"/>
                <w:sz w:val="20"/>
                <w:szCs w:val="20"/>
                <w:lang w:eastAsia="id-ID"/>
              </w:rPr>
              <w:t>best practices</w:t>
            </w:r>
            <w:r w:rsidRPr="00C622FE">
              <w:rPr>
                <w:rFonts w:ascii="Times New Roman" w:eastAsia="Times New Roman" w:hAnsi="Times New Roman" w:cs="Times New Roman"/>
                <w:color w:val="000000"/>
                <w:sz w:val="20"/>
                <w:szCs w:val="20"/>
                <w:lang w:eastAsia="id-ID"/>
              </w:rPr>
              <w:t>) atas resolusi konflik terkait pengakuan hak masyarakat adat/lokal</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praktik terbaik</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156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konflik yang mudah untuk diselesaikan dan tidak boleh dianggap remeh</w:t>
            </w:r>
          </w:p>
        </w:tc>
        <w:tc>
          <w:tcPr>
            <w:tcW w:w="1381" w:type="dxa"/>
            <w:tcBorders>
              <w:top w:val="nil"/>
              <w:left w:val="single" w:sz="4" w:space="0" w:color="auto"/>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Sering terjadi konflik, namun dapat dicegah dengan mediasi tokoh masyarakat</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FIId1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Pencegahan kekerasan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tentu sudah mencakup</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berlaku mekanisme resolusi konflik di aceh barat</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keterlibatan tokoh masyarakat adat efektif untuk mencega kekerasan.</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4</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FIId2</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Penyelesaian konflik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iya mencakup penyelesaian konflik</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berlaku mekanisme resolusi konflik di aceh barat</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102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hak masyarakat adat cukup di akui oleh kesepakatan antar sesama </w:t>
            </w:r>
            <w:r w:rsidRPr="00C622FE">
              <w:rPr>
                <w:rFonts w:ascii="Times New Roman" w:eastAsia="Times New Roman" w:hAnsi="Times New Roman" w:cs="Times New Roman"/>
                <w:color w:val="000000"/>
                <w:sz w:val="20"/>
                <w:szCs w:val="20"/>
                <w:lang w:eastAsia="id-ID"/>
              </w:rPr>
              <w:lastRenderedPageBreak/>
              <w:t>masyarakat, dan itu bagian dari penyelesaian konflik</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2</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FIId3</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Penerimaan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iya juga</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tahu</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maksud pertanyaan tidak dimengerti</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FIId4</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Komitmen tetap dijalankan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tahu</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tahu</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komit.</w:t>
            </w:r>
          </w:p>
        </w:tc>
        <w:tc>
          <w:tcPr>
            <w:tcW w:w="1381"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C622FE" w:rsidRPr="00C622FE" w:rsidTr="00C622FE">
        <w:trPr>
          <w:trHeight w:val="25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 Media cetak</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FIIe1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Jurnalis</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banyak yang konsen kesitu,  media kan punya formulasi atau cara tersendiri dlm muatan berita</w:t>
            </w:r>
          </w:p>
        </w:tc>
        <w:tc>
          <w:tcPr>
            <w:tcW w:w="1381"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FIIe2</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Cakupan berita  mengenai pengakuan pejabat atas hak masyarakat adat</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Jurnalis</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banyak yang konsen kesitu,  media kan punya formulasi atau cara tersendiri dlm muatan berita</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r>
      <w:tr w:rsidR="00C622FE" w:rsidRPr="00C622FE" w:rsidTr="00C622FE">
        <w:trPr>
          <w:trHeight w:val="60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FIIe3</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Posisi berita dalam media cetak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Posisi berita dalam media cetak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Jurnalis</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banyak yang konsen kesitu,  media kan punya formulasi atau cara tersendiri dlm muatan berita</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FIIe4</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Posisi media dalam pemberitaan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Posisi media dalam pemberitaan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Jurnalis</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banyak yang konsen kesitu,  media kan punya formulasi atau cara tersendiri dlm muatan berita</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3859" w:type="dxa"/>
            <w:gridSpan w:val="3"/>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5660" w:type="dxa"/>
            <w:gridSpan w:val="4"/>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III. Pengorganisasian Hutan</w:t>
            </w: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Pengusaha, Organisasi Masyarakat Adat, LSM</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FIIIa1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biaya transaksi pengurusan izin pengelolaan hutan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biaya transaksi pengurusan izin pengelolaan hutan</w:t>
            </w: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mengetahui</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aturannya. (tidak ada pilihan kategori)</w:t>
            </w:r>
          </w:p>
        </w:tc>
      </w:tr>
      <w:tr w:rsidR="00C622FE" w:rsidRPr="00C622FE" w:rsidTr="00C622FE">
        <w:trPr>
          <w:trHeight w:val="165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mengetahui, belum ada aturannya di kabupaten</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aturannya. (tidak ada pilihan kategori)</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9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C622FE">
              <w:rPr>
                <w:rFonts w:ascii="Times New Roman" w:eastAsia="Times New Roman" w:hAnsi="Times New Roman" w:cs="Times New Roman"/>
                <w:b/>
                <w:bCs/>
                <w:color w:val="000000"/>
                <w:sz w:val="20"/>
                <w:szCs w:val="20"/>
                <w:lang w:eastAsia="id-ID"/>
              </w:rPr>
              <w:br/>
              <w:t xml:space="preserve">  pemegang ijin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Peraturan Prosedur Pelaksanaan Pengurusan Izin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204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FIIIb1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tahapan dan bentuk persyaratan setiap tahapan dalam pengurusan izin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 perijinan bukan urusan dinas tk 2.  segala tahapan perijinan ada di provinsi. Kami hanya mengkoordinir. Kalau ada yang butuh mereka mengurus sendiri dan tim dari provinsi langsung yang melakukan verifikasi</w:t>
            </w:r>
          </w:p>
        </w:tc>
        <w:tc>
          <w:tcPr>
            <w:tcW w:w="1275" w:type="dxa"/>
            <w:tcBorders>
              <w:top w:val="nil"/>
              <w:left w:val="single" w:sz="4" w:space="0" w:color="auto"/>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153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BPN</w:t>
            </w: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Tidak ada Dokumen. Keterlibatan BPN hanya pada pengukuran yang melahirkan peta. Segala prosedur perijinan urusannya pemerintah kabupaten dan instansi terkait. Yang jelas bukan di sini (BPN) </w:t>
            </w:r>
          </w:p>
        </w:tc>
        <w:tc>
          <w:tcPr>
            <w:tcW w:w="1275" w:type="dxa"/>
            <w:tcBorders>
              <w:top w:val="nil"/>
              <w:left w:val="single" w:sz="4" w:space="0" w:color="auto"/>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94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Dinas Pertanian</w:t>
            </w:r>
          </w:p>
        </w:tc>
        <w:tc>
          <w:tcPr>
            <w:tcW w:w="1649" w:type="dxa"/>
            <w:tcBorders>
              <w:top w:val="single" w:sz="4" w:space="0" w:color="auto"/>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Tidak ada DokumenTidak ada peraturan dan prosedur </w:t>
            </w:r>
            <w:r w:rsidRPr="00C622FE">
              <w:rPr>
                <w:rFonts w:ascii="Times New Roman" w:eastAsia="Times New Roman" w:hAnsi="Times New Roman" w:cs="Times New Roman"/>
                <w:color w:val="000000"/>
                <w:sz w:val="20"/>
                <w:szCs w:val="20"/>
                <w:lang w:eastAsia="id-ID"/>
              </w:rPr>
              <w:lastRenderedPageBreak/>
              <w:t>pengurusan izin di dinas pertanian</w:t>
            </w:r>
          </w:p>
        </w:tc>
        <w:tc>
          <w:tcPr>
            <w:tcW w:w="1275" w:type="dxa"/>
            <w:tcBorders>
              <w:top w:val="nil"/>
              <w:left w:val="single" w:sz="4" w:space="0" w:color="auto"/>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3859" w:type="dxa"/>
            <w:gridSpan w:val="3"/>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5660" w:type="dxa"/>
            <w:gridSpan w:val="4"/>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IV. Pengelolaan Hutan</w:t>
            </w: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3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C622FE">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2400"/>
        </w:trPr>
        <w:tc>
          <w:tcPr>
            <w:tcW w:w="72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FIVa1</w:t>
            </w:r>
          </w:p>
        </w:tc>
        <w:tc>
          <w:tcPr>
            <w:tcW w:w="1339"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1" w:type="dxa"/>
            <w:vMerge w:val="restart"/>
            <w:tcBorders>
              <w:top w:val="nil"/>
              <w:left w:val="single" w:sz="4" w:space="0" w:color="auto"/>
              <w:bottom w:val="single" w:sz="4" w:space="0" w:color="000000"/>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datanya. Kami yakin ada masyarakat pengguna lahan hutan, tapi mereka belum teroganisir dengan baik dan tidak mendaftar/melapor ke dishut (sumber; kasie rehabilitasi lahan dishutbun aceh barat)</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10"/>
        </w:trPr>
        <w:tc>
          <w:tcPr>
            <w:tcW w:w="72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BPN</w:t>
            </w: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terdaftar disini dan tidak ada datanya di BPN</w:t>
            </w:r>
          </w:p>
        </w:tc>
        <w:tc>
          <w:tcPr>
            <w:tcW w:w="1275" w:type="dxa"/>
            <w:tcBorders>
              <w:top w:val="nil"/>
              <w:left w:val="single" w:sz="4" w:space="0" w:color="auto"/>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1020"/>
        </w:trPr>
        <w:tc>
          <w:tcPr>
            <w:tcW w:w="72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Dinas Pertanian</w:t>
            </w:r>
          </w:p>
        </w:tc>
        <w:tc>
          <w:tcPr>
            <w:tcW w:w="164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masyarakat pengelola kebun apalagi pengelola hutan di dinas pertanian, itu sudah wilayah kerjanya dishutbun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FIVb1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kawasan yang dikelola secara berkelanjutan di aceh barat</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c. Persentase hutan yang memiliki pengelola (KPH)</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Kehutanan &amp; Dinas Kehutanan (Provinsi &amp; Kabupaten)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FIVc1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Persentase hutan yang memiliki pengelola (KPH)</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FIVd1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pengelolaan hutan berbasis ecological services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 Tidak ada pengelolaan hutan berbasis ecological service</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3859" w:type="dxa"/>
            <w:gridSpan w:val="3"/>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5660" w:type="dxa"/>
            <w:gridSpan w:val="4"/>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V. Pengendalian dan Penegakan Hukum</w:t>
            </w: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Laporan Inspektorat, BPKP &amp; BPK, Bawasda</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98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FVa1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pelanggaran pengguna-an anggaran di tingkat provinsi dan kab/kota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BPK, BAWASDA, INSPEKTORAT</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datanya karena sudah dipastikan tidak temuan pelanggaran penggunaan anggaran untuk sektor pengelolaan hutan dalam 3 tahun terakhir di inspektorat aceh barat</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Kementrian &amp; Dinas Kehutanan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FVb1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sanksi administratif serius (pencabutan izin, dan </w:t>
            </w:r>
            <w:r w:rsidRPr="00C622FE">
              <w:rPr>
                <w:rFonts w:ascii="Times New Roman" w:eastAsia="Times New Roman" w:hAnsi="Times New Roman" w:cs="Times New Roman"/>
                <w:sz w:val="20"/>
                <w:szCs w:val="20"/>
                <w:lang w:eastAsia="id-ID"/>
              </w:rPr>
              <w:lastRenderedPageBreak/>
              <w:t>denda, yang telah dijatuhkan)</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Tidak ada dokumen. di aceh barat belum ada yang di beri sanksi administratrif </w:t>
            </w:r>
            <w:r w:rsidRPr="00C622FE">
              <w:rPr>
                <w:rFonts w:ascii="Times New Roman" w:eastAsia="Times New Roman" w:hAnsi="Times New Roman" w:cs="Times New Roman"/>
                <w:color w:val="000000"/>
                <w:sz w:val="20"/>
                <w:szCs w:val="20"/>
                <w:lang w:eastAsia="id-ID"/>
              </w:rPr>
              <w:lastRenderedPageBreak/>
              <w:t>yang serius</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lastRenderedPageBreak/>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Kepolisian (Nasional &amp; Daerah)</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FVc1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kasus pidana kehutanan yang diajukan/diproses oleh polisi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Polres</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Dalam dokumen yang diperlihatkan  hanya ada 2 kasus ilegal loging dalam kurun waktu 3 tahun terkahir</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58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C622FE">
              <w:rPr>
                <w:rFonts w:ascii="Times New Roman" w:eastAsia="Times New Roman" w:hAnsi="Times New Roman" w:cs="Times New Roman"/>
                <w:b/>
                <w:bCs/>
                <w:color w:val="000000"/>
                <w:sz w:val="20"/>
                <w:szCs w:val="20"/>
                <w:lang w:eastAsia="id-ID"/>
              </w:rPr>
              <w:br/>
              <w:t xml:space="preserve">  diputuskan oleh MA</w:t>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Kepolisian (Nasional &amp; Daerah)</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50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FVd1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Polres</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Dalam dokumen yang diperlihatkan tidak ada kasusnya dalam 3 tahun terakhir</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e. Index integritas KPK sektor kehutanan</w:t>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Hasil Survai KPK tentang Integritas</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FVe1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Index integritas KPK sektor kehutanan</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KPK &amp; TII</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f. Index persepsi korupsi di lokasi assesmen (TII)</w:t>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Hasil Survai Persepsi Transparansi Internasional Indonesia (TII)</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FVf1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Index persepsi korupsi di lokasi assesmen (TII)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KPK &amp; TII</w:t>
            </w:r>
          </w:p>
        </w:tc>
        <w:tc>
          <w:tcPr>
            <w:tcW w:w="1649" w:type="dxa"/>
            <w:tcBorders>
              <w:top w:val="nil"/>
              <w:left w:val="nil"/>
              <w:bottom w:val="single" w:sz="4" w:space="0" w:color="auto"/>
              <w:right w:val="single" w:sz="4" w:space="0" w:color="auto"/>
            </w:tcBorders>
            <w:shd w:val="clear" w:color="000000" w:fill="FFFFFF"/>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15"/>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C622FE">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Laporan BPK</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785"/>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FVg1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BPK, BAWASDA, INSPEKTORAT</w:t>
            </w:r>
          </w:p>
        </w:tc>
        <w:tc>
          <w:tcPr>
            <w:tcW w:w="1649"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h. Jumlah pengaduan masyarakat tentang kinerja pengelolaan hutan</w:t>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r>
            <w:r w:rsidRPr="00C622FE">
              <w:rPr>
                <w:rFonts w:ascii="Times New Roman" w:eastAsia="Times New Roman" w:hAnsi="Times New Roman" w:cs="Times New Roman"/>
                <w:b/>
                <w:bCs/>
                <w:color w:val="000000"/>
                <w:sz w:val="20"/>
                <w:szCs w:val="20"/>
                <w:lang w:eastAsia="id-ID"/>
              </w:rPr>
              <w:br/>
              <w:t xml:space="preserve"> </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FVh1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r w:rsidRPr="00C622FE">
              <w:rPr>
                <w:rFonts w:ascii="Times New Roman" w:eastAsia="Times New Roman" w:hAnsi="Times New Roman" w:cs="Times New Roman"/>
                <w:sz w:val="20"/>
                <w:szCs w:val="20"/>
                <w:lang w:eastAsia="id-ID"/>
              </w:rPr>
              <w:t xml:space="preserve">Jumlah pengaduan masyarakat tentang kinerja pengelolaan hutan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pengaduan sama sekali (barangkali di sebabkan oleh tidak adanya mekanisme atau wadah tempat pengaduan)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pilihan</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sz w:val="20"/>
                <w:szCs w:val="20"/>
                <w:lang w:eastAsia="id-ID"/>
              </w:rPr>
            </w:pPr>
          </w:p>
        </w:tc>
        <w:tc>
          <w:tcPr>
            <w:tcW w:w="1339"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255"/>
        </w:trPr>
        <w:tc>
          <w:tcPr>
            <w:tcW w:w="3859" w:type="dxa"/>
            <w:gridSpan w:val="3"/>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Isu dalam PGA REDD+</w:t>
            </w:r>
          </w:p>
        </w:tc>
        <w:tc>
          <w:tcPr>
            <w:tcW w:w="5660" w:type="dxa"/>
            <w:gridSpan w:val="4"/>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VI. Infrastruktur REDD+</w:t>
            </w: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76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FVIa1</w:t>
            </w:r>
          </w:p>
        </w:tc>
        <w:tc>
          <w:tcPr>
            <w:tcW w:w="1339"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Dokumen. tidak ada pengukuhan dimana itu lokasi REED+</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2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Satgas REDD+</w:t>
            </w:r>
          </w:p>
        </w:tc>
        <w:tc>
          <w:tcPr>
            <w:tcW w:w="2924" w:type="dxa"/>
            <w:gridSpan w:val="2"/>
            <w:tcBorders>
              <w:top w:val="single" w:sz="4" w:space="0" w:color="auto"/>
              <w:left w:val="nil"/>
              <w:bottom w:val="single" w:sz="4" w:space="0" w:color="auto"/>
              <w:right w:val="single" w:sz="4" w:space="0" w:color="000000"/>
            </w:tcBorders>
            <w:shd w:val="clear" w:color="000000" w:fill="F2DDDC"/>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b. Tingkat penerimaan Strategi REDD+ oleh para aktor</w:t>
            </w:r>
            <w:r w:rsidRPr="00C622FE">
              <w:rPr>
                <w:rFonts w:ascii="Times New Roman" w:eastAsia="Times New Roman" w:hAnsi="Times New Roman" w:cs="Times New Roman"/>
                <w:b/>
                <w:bCs/>
                <w:color w:val="000000"/>
                <w:sz w:val="20"/>
                <w:szCs w:val="20"/>
                <w:lang w:eastAsia="id-ID"/>
              </w:rPr>
              <w:br/>
            </w:r>
          </w:p>
        </w:tc>
      </w:tr>
      <w:tr w:rsidR="00C622FE" w:rsidRPr="00C622FE" w:rsidTr="00C622FE">
        <w:trPr>
          <w:trHeight w:val="66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27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FVIb1</w:t>
            </w:r>
          </w:p>
        </w:tc>
        <w:tc>
          <w:tcPr>
            <w:tcW w:w="133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Bagaimana penerimaan Strate-gi REDD+ oleh para aktor?</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Sekalipun belum banyak yang paham dan tau apa itu, tapi dari penjelasan singkat dari pak kardi, maka dugaan saya akan diterima banyak pihak</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229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Bappeda</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Maaf pak, Kami tidak Paham tentang apa itu REDD+.</w:t>
            </w:r>
            <w:r w:rsidRPr="00C622FE">
              <w:rPr>
                <w:rFonts w:ascii="Times New Roman" w:eastAsia="Times New Roman" w:hAnsi="Times New Roman" w:cs="Times New Roman"/>
                <w:color w:val="000000"/>
                <w:sz w:val="20"/>
                <w:szCs w:val="20"/>
                <w:lang w:eastAsia="id-ID"/>
              </w:rPr>
              <w:br/>
            </w:r>
            <w:r w:rsidRPr="00C622FE">
              <w:rPr>
                <w:rFonts w:ascii="Times New Roman" w:eastAsia="Times New Roman" w:hAnsi="Times New Roman" w:cs="Times New Roman"/>
                <w:color w:val="000000"/>
                <w:sz w:val="20"/>
                <w:szCs w:val="20"/>
                <w:lang w:eastAsia="id-ID"/>
              </w:rPr>
              <w:br/>
              <w:t>*Peneliti sudah mencoba meminta kesediaan seluruh orang yang ada dikantor saat itu untuk berkomentar tentang REED+., tapi tidak ada yang tahu</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127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Bisa diterima jika ada kompensasi tertentu, jangan hutan disuruh jaga kekita namun negara maju terus merusak karbon dengan aktivitas ekonominya</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2</w:t>
            </w:r>
          </w:p>
        </w:tc>
      </w:tr>
      <w:tr w:rsidR="00C622FE" w:rsidRPr="00C622FE" w:rsidTr="00C622FE">
        <w:trPr>
          <w:trHeight w:val="127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pada posisi menerima atau menolak. Karena saya paham tentang REDD+ itu baik. Tapi persoalannya REED+ belum hadir disini</w:t>
            </w:r>
          </w:p>
        </w:tc>
        <w:tc>
          <w:tcPr>
            <w:tcW w:w="1381"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3</w:t>
            </w:r>
          </w:p>
        </w:tc>
      </w:tr>
      <w:tr w:rsidR="00C622FE" w:rsidRPr="00C622FE" w:rsidTr="00C622FE">
        <w:trPr>
          <w:trHeight w:val="51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FVIb2</w:t>
            </w:r>
          </w:p>
        </w:tc>
        <w:tc>
          <w:tcPr>
            <w:tcW w:w="133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Kelembagaan REDD+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nampak wujudnya, belum bisa komen</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Bappeda</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nampak wujudnya, belum bisa komen</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10"/>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nampak wujudnya, belum bisa komen</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nampak wujudnya, belum bisa komen</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51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FVIb3</w:t>
            </w:r>
          </w:p>
        </w:tc>
        <w:tc>
          <w:tcPr>
            <w:tcW w:w="133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Kerangka Pengaman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Belum nampak wujudnya, belum bisa komen</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Bappeda</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FVIb4</w:t>
            </w:r>
          </w:p>
        </w:tc>
        <w:tc>
          <w:tcPr>
            <w:tcW w:w="1339" w:type="dxa"/>
            <w:vMerge w:val="restart"/>
            <w:tcBorders>
              <w:top w:val="nil"/>
              <w:left w:val="single" w:sz="4" w:space="0" w:color="auto"/>
              <w:bottom w:val="single" w:sz="4" w:space="0" w:color="000000"/>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Apakah (mekanisme) MRV sudah memadai?</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Bappeda</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LSM</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765"/>
        </w:trPr>
        <w:tc>
          <w:tcPr>
            <w:tcW w:w="729"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39" w:type="dxa"/>
            <w:vMerge/>
            <w:tcBorders>
              <w:top w:val="nil"/>
              <w:left w:val="single" w:sz="4" w:space="0" w:color="auto"/>
              <w:bottom w:val="single" w:sz="4" w:space="0" w:color="000000"/>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Organisasi Masyarakat Adat Lokal</w:t>
            </w:r>
          </w:p>
        </w:tc>
        <w:tc>
          <w:tcPr>
            <w:tcW w:w="1649"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yang paham</w:t>
            </w:r>
          </w:p>
        </w:tc>
        <w:tc>
          <w:tcPr>
            <w:tcW w:w="1381" w:type="dxa"/>
            <w:tcBorders>
              <w:top w:val="nil"/>
              <w:left w:val="nil"/>
              <w:bottom w:val="single" w:sz="4" w:space="0" w:color="auto"/>
              <w:right w:val="single" w:sz="4" w:space="0" w:color="auto"/>
            </w:tcBorders>
            <w:shd w:val="clear" w:color="000000" w:fill="FFFF00"/>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c. Tingkat deforestasi di lokasi assesmen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FVIc1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Tingkat deforestasi di lokasi assesmen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diberikan dokumennya</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d. Tingkat degradasi hutan di lokasi assesmen</w:t>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lastRenderedPageBreak/>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FVId1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Tingkat degradasi hutan di lokasi assesmen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diberikan dokumennya</w:t>
            </w:r>
          </w:p>
        </w:tc>
        <w:tc>
          <w:tcPr>
            <w:tcW w:w="1275" w:type="dxa"/>
            <w:tcBorders>
              <w:top w:val="nil"/>
              <w:left w:val="nil"/>
              <w:bottom w:val="single" w:sz="4" w:space="0" w:color="auto"/>
              <w:right w:val="single" w:sz="4" w:space="0" w:color="auto"/>
            </w:tcBorders>
            <w:shd w:val="clear" w:color="000000" w:fill="FFFFFF"/>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r w:rsidR="00C622FE" w:rsidRPr="00C622FE" w:rsidTr="00C622FE">
        <w:trPr>
          <w:trHeight w:val="6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7041" w:type="dxa"/>
            <w:gridSpan w:val="5"/>
            <w:tcBorders>
              <w:top w:val="nil"/>
              <w:left w:val="nil"/>
              <w:bottom w:val="nil"/>
              <w:right w:val="nil"/>
            </w:tcBorders>
            <w:shd w:val="clear" w:color="auto" w:fill="auto"/>
            <w:hideMark/>
          </w:tcPr>
          <w:p w:rsidR="00C622FE" w:rsidRPr="00C622FE" w:rsidRDefault="00C622FE" w:rsidP="00C622FE">
            <w:pPr>
              <w:spacing w:after="24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C622FE">
              <w:rPr>
                <w:rFonts w:ascii="Times New Roman" w:eastAsia="Times New Roman" w:hAnsi="Times New Roman" w:cs="Times New Roman"/>
                <w:b/>
                <w:bCs/>
                <w:color w:val="000000"/>
                <w:sz w:val="20"/>
                <w:szCs w:val="20"/>
                <w:lang w:eastAsia="id-ID"/>
              </w:rPr>
              <w:br/>
              <w:t xml:space="preserve">  REDD+ (demonstration ativities)</w:t>
            </w:r>
            <w:r w:rsidRPr="00C622FE">
              <w:rPr>
                <w:rFonts w:ascii="Times New Roman" w:eastAsia="Times New Roman" w:hAnsi="Times New Roman" w:cs="Times New Roman"/>
                <w:b/>
                <w:bCs/>
                <w:color w:val="000000"/>
                <w:sz w:val="20"/>
                <w:szCs w:val="20"/>
                <w:lang w:eastAsia="id-ID"/>
              </w:rPr>
              <w:br/>
            </w:r>
          </w:p>
        </w:tc>
      </w:tr>
      <w:tr w:rsidR="00C622FE" w:rsidRPr="00C622FE" w:rsidTr="00C622FE">
        <w:trPr>
          <w:trHeight w:val="300"/>
        </w:trPr>
        <w:tc>
          <w:tcPr>
            <w:tcW w:w="2068" w:type="dxa"/>
            <w:gridSpan w:val="2"/>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p>
        </w:tc>
        <w:tc>
          <w:tcPr>
            <w:tcW w:w="7041" w:type="dxa"/>
            <w:gridSpan w:val="5"/>
            <w:tcBorders>
              <w:top w:val="nil"/>
              <w:left w:val="nil"/>
              <w:bottom w:val="single" w:sz="4" w:space="0" w:color="auto"/>
              <w:right w:val="nil"/>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 Kementerian &amp; Dinas Kehutanan</w:t>
            </w:r>
          </w:p>
        </w:tc>
      </w:tr>
      <w:tr w:rsidR="00C622FE" w:rsidRPr="00C622FE" w:rsidTr="00C622FE">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Kode</w:t>
            </w:r>
          </w:p>
        </w:tc>
        <w:tc>
          <w:tcPr>
            <w:tcW w:w="1339"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Sumber Data</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b/>
                <w:bCs/>
                <w:color w:val="000000"/>
                <w:sz w:val="20"/>
                <w:szCs w:val="20"/>
                <w:lang w:eastAsia="id-ID"/>
              </w:rPr>
            </w:pPr>
            <w:r w:rsidRPr="00C622FE">
              <w:rPr>
                <w:rFonts w:ascii="Times New Roman" w:eastAsia="Times New Roman" w:hAnsi="Times New Roman" w:cs="Times New Roman"/>
                <w:b/>
                <w:bCs/>
                <w:color w:val="000000"/>
                <w:sz w:val="20"/>
                <w:szCs w:val="20"/>
                <w:lang w:eastAsia="id-ID"/>
              </w:rPr>
              <w:t>Kategori Data Wawancara</w:t>
            </w:r>
          </w:p>
        </w:tc>
      </w:tr>
      <w:tr w:rsidR="00C622FE" w:rsidRPr="00C622FE" w:rsidTr="00C622FE">
        <w:trPr>
          <w:trHeight w:val="1530"/>
        </w:trPr>
        <w:tc>
          <w:tcPr>
            <w:tcW w:w="729" w:type="dxa"/>
            <w:tcBorders>
              <w:top w:val="nil"/>
              <w:left w:val="single" w:sz="4" w:space="0" w:color="auto"/>
              <w:bottom w:val="single" w:sz="4" w:space="0" w:color="auto"/>
              <w:right w:val="single" w:sz="4" w:space="0" w:color="auto"/>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FVIe1</w:t>
            </w:r>
          </w:p>
        </w:tc>
        <w:tc>
          <w:tcPr>
            <w:tcW w:w="133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1"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Kehutanan</w:t>
            </w:r>
          </w:p>
        </w:tc>
        <w:tc>
          <w:tcPr>
            <w:tcW w:w="1649"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tidak ada kawasan yang dikelola secara berkelanjutan oleh pelaku pengelolaan hutan dalam pelaksanaan REED+</w:t>
            </w:r>
          </w:p>
        </w:tc>
        <w:tc>
          <w:tcPr>
            <w:tcW w:w="1275" w:type="dxa"/>
            <w:tcBorders>
              <w:top w:val="nil"/>
              <w:left w:val="nil"/>
              <w:bottom w:val="single" w:sz="4" w:space="0" w:color="auto"/>
              <w:right w:val="single" w:sz="4" w:space="0" w:color="auto"/>
            </w:tcBorders>
            <w:shd w:val="clear" w:color="auto" w:fill="auto"/>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r w:rsidRPr="00C622FE">
              <w:rPr>
                <w:rFonts w:ascii="Times New Roman" w:eastAsia="Times New Roman" w:hAnsi="Times New Roman" w:cs="Times New Roman"/>
                <w:color w:val="000000"/>
                <w:sz w:val="20"/>
                <w:szCs w:val="20"/>
                <w:lang w:eastAsia="id-ID"/>
              </w:rPr>
              <w:t> </w:t>
            </w:r>
          </w:p>
        </w:tc>
      </w:tr>
      <w:tr w:rsidR="00C622FE" w:rsidRPr="00C622FE" w:rsidTr="00C622FE">
        <w:trPr>
          <w:trHeight w:val="255"/>
        </w:trPr>
        <w:tc>
          <w:tcPr>
            <w:tcW w:w="72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33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649"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622FE" w:rsidRPr="00C622FE" w:rsidRDefault="00C622FE" w:rsidP="00C622FE">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C622FE" w:rsidRPr="00C622FE" w:rsidRDefault="00C622FE" w:rsidP="00C622FE">
            <w:pPr>
              <w:spacing w:after="0" w:line="240" w:lineRule="auto"/>
              <w:jc w:val="center"/>
              <w:rPr>
                <w:rFonts w:ascii="Times New Roman" w:eastAsia="Times New Roman" w:hAnsi="Times New Roman" w:cs="Times New Roman"/>
                <w:color w:val="000000"/>
                <w:sz w:val="20"/>
                <w:szCs w:val="20"/>
                <w:lang w:eastAsia="id-ID"/>
              </w:rPr>
            </w:pPr>
          </w:p>
        </w:tc>
      </w:tr>
    </w:tbl>
    <w:p w:rsidR="00D74DB4" w:rsidRDefault="00D74DB4"/>
    <w:sectPr w:rsidR="00D74DB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3660</Words>
  <Characters>20863</Characters>
  <Application>Microsoft Office Word</Application>
  <DocSecurity>0</DocSecurity>
  <Lines>173</Lines>
  <Paragraphs>48</Paragraphs>
  <ScaleCrop>false</ScaleCrop>
  <Company/>
  <LinksUpToDate>false</LinksUpToDate>
  <CharactersWithSpaces>24475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2012-10-16T02:07:00Z</dcterms:modified>
</cp:coreProperties>
</file>